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eastAsia="zh-CN"/>
        </w:rPr>
        <w:t>巡游出租汽车经营许可（县级权限）变更</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【00011821900502】</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巡游出租汽车经营许可（县级权限）【000118219005】</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巡游出租汽车经营许可（县级权限）变更(00011821900502)(审核通过)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（1）《国务院对确需保留的行政审批项目设定行政许可的决定》附件第112项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（2）《巡游出租汽车经营服务管理规定》（交通运输部令2021年第16号）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（1）《巡游出租汽车经营服务管理规定》（交通运输部令2021年第16号）第四十五条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有符合机动车管理要求并满足以下条件的车辆或者提供保证满足以下条件的车辆承诺书：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2.有取得符合要求的从业资格证件的驾驶人员；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4.有固定的经营场所和停车场地。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（1）《巡游出租汽车经营服务管理规定》（交通运输部令2021年第16号）第八条第八条 申请巡游出租汽车经营的，应当根据经营区域向相应的县级以上地方人民政府出租汽车行政主管部门提出申请，并符合下列条件：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（一）有符合机动车管理要求并满足以下条件的车辆或者提供保证满足以下条件的车辆承诺书：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（二）有取得符合要求的从业资格证件的驾驶人员；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（四）有固定的经营场所和停车场地。</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2.开展服务质量信誉考核测评，建立巡游出租汽车经营者信用档案并依法向社会公开信用记录，依法依规对失信主体开展失信惩戒。</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4.依法及时处理投诉举报。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5.巡游出租汽车经营管理制度、安全生产管理制度和服务质量保障制度文本；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6.经营场所、停车场地有关使用证明等。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（1）《巡游出租汽车经营服务管理规定》（交通运输部令2021年第16号）第九条第九条 申请人申请巡游出租汽车经营时，应当提交以下材料：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 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（1）《巡游出租汽车经营服务管理规定》（交通运输部令2021年第16号）第十六条第十六条 巡游出租汽车车辆经营权不得超过规定的期限，具体期限由县级以上地方人民政府出租汽车行政主管部门报本级人民政府根据投入车辆的车型和报废周期等因素确定。 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巡游出租汽车经营者取得经营许可后无正当理由超过180天不投入符合要求的车辆运营或者运营后连续180天以上停运的，视为自动终止经营，由原许可机关收回相应的巡游出租汽车车辆经营权。 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巡游出租汽车经营者合并、分立或者变更经营主体名称的，应当到原许可机关办理变更许可手续。 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 考核等级在经营期限内均为AA级及以上的，应当批准其继续经营； 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2. 考核等级在经营期限内有A级的，应当督促其加强内部管理，整改合格后准许其继续经营； 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3. 考核等级在经营期限内有B级或者一半以上为A级的，可视情适当核减车辆经营权； 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4. 考核等级在经营期限内有一半以上为B级的，应当收回车辆经营权，并按照第十三条的规定重新配置车辆经营权。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县级行政区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六条直辖市、设区的市级或者县级交通运输主管部门或者人民政府指定的其他出租汽车行政主管部门（以下称出租汽车行政主管部门）在本级人民政府领导下，负责具体实施巡游出租汽车管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bookmarkStart w:id="0" w:name="_GoBack"/>
      <w:bookmarkEnd w:id="0"/>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736896"/>
    <w:rsid w:val="5373689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2023-10-31T01:03:00Z</dcterms:created>
  <dc:creator>dawn</dc:creator>
  <cp:lastModifiedBy>dawn</cp:lastModifiedBy>
  <dcterms:modified xsi:type="dcterms:W3CDTF">2023-10-31T01:05:12Z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